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48951" cy="1914525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48951" cy="1914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84.2pt;height:150.8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/>
          <w:sz w:val="20"/>
        </w:rPr>
      </w:r>
      <w:r/>
    </w:p>
    <w:p>
      <w:pPr>
        <w:ind w:left="2331" w:right="2329" w:firstLine="0"/>
        <w:jc w:val="center"/>
        <w:spacing w:before="0" w:line="276" w:lineRule="exact"/>
        <w:rPr>
          <w:bCs/>
          <w:i/>
          <w:sz w:val="24"/>
          <w:szCs w:val="24"/>
        </w:rPr>
      </w:pPr>
      <w:r>
        <w:rPr>
          <w:i/>
          <w:sz w:val="24"/>
          <w:highlight w:val="none"/>
        </w:rPr>
      </w:r>
      <w:r>
        <w:rPr>
          <w:i/>
          <w:sz w:val="24"/>
          <w:highlight w:val="none"/>
        </w:rPr>
      </w:r>
    </w:p>
    <w:p>
      <w:pPr>
        <w:ind w:left="2331" w:right="2329" w:firstLine="0"/>
        <w:jc w:val="center"/>
        <w:spacing w:before="0" w:line="276" w:lineRule="exact"/>
        <w:rPr>
          <w:bCs/>
          <w:i/>
          <w:sz w:val="24"/>
          <w:szCs w:val="24"/>
          <w:highlight w:val="none"/>
          <w14:ligatures w14:val="none"/>
        </w:rPr>
      </w:pPr>
      <w:r>
        <w:rPr>
          <w:i/>
          <w:iCs/>
          <w:sz w:val="24"/>
          <w:szCs w:val="24"/>
        </w:rPr>
        <w:t xml:space="preserve">Natale al MANN</w:t>
      </w: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ind w:left="2331" w:right="2329" w:firstLine="0"/>
        <w:jc w:val="center"/>
        <w:spacing w:before="0" w:line="276" w:lineRule="exact"/>
        <w:rPr>
          <w:bCs/>
          <w:i/>
          <w:sz w:val="24"/>
          <w:szCs w:val="24"/>
          <w14:ligatures w14:val="none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  <w:t xml:space="preserve">Una nuova mostra sulle acquisizioni del Museo</w:t>
      </w:r>
      <w:r>
        <w:rPr>
          <w:bCs/>
          <w:i/>
          <w:sz w:val="24"/>
          <w:szCs w:val="24"/>
          <w14:ligatures w14:val="none"/>
        </w:rPr>
      </w:r>
    </w:p>
    <w:p>
      <w:pPr>
        <w:ind w:left="2331" w:right="2329" w:firstLine="0"/>
        <w:jc w:val="center"/>
        <w:spacing w:before="0" w:line="276" w:lineRule="exact"/>
        <w:rPr>
          <w:bCs/>
          <w:i/>
          <w:sz w:val="24"/>
          <w:szCs w:val="24"/>
          <w:highlight w:val="none"/>
          <w14:ligatures w14:val="none"/>
        </w:rPr>
      </w:pPr>
      <w:r>
        <w:rPr>
          <w:i/>
          <w:iCs/>
          <w:sz w:val="24"/>
          <w:szCs w:val="24"/>
        </w:rPr>
        <w:t xml:space="preserve">da Pietro Fabris a Vincenzo Gemito</w:t>
      </w:r>
      <w:r>
        <w:rPr>
          <w:i/>
          <w:iCs/>
          <w:sz w:val="24"/>
          <w:szCs w:val="24"/>
        </w:rPr>
      </w:r>
      <w:r/>
    </w:p>
    <w:p>
      <w:pPr>
        <w:ind w:left="2331" w:right="2329" w:firstLine="0"/>
        <w:jc w:val="center"/>
        <w:spacing w:before="0" w:line="276" w:lineRule="exact"/>
        <w:rPr>
          <w:bCs/>
          <w:i/>
          <w:sz w:val="24"/>
          <w:szCs w:val="24"/>
          <w14:ligatures w14:val="none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  <w:t xml:space="preserve">In Atrio il Presepe dei monaci </w:t>
      </w:r>
      <w:r>
        <w:rPr>
          <w:bCs/>
          <w:i/>
          <w:sz w:val="24"/>
          <w:szCs w:val="24"/>
          <w14:ligatures w14:val="none"/>
        </w:rPr>
      </w:r>
    </w:p>
    <w:p>
      <w:pPr>
        <w:ind w:left="2331" w:right="2329" w:firstLine="0"/>
        <w:jc w:val="center"/>
        <w:spacing w:before="0" w:line="276" w:lineRule="exact"/>
        <w:rPr>
          <w:bCs/>
          <w:i/>
          <w:sz w:val="24"/>
          <w:szCs w:val="24"/>
          <w14:ligatures w14:val="none"/>
        </w:rPr>
      </w:pPr>
      <w:r>
        <w:rPr>
          <w:i/>
          <w:iCs/>
          <w:sz w:val="24"/>
          <w:szCs w:val="24"/>
        </w:rPr>
        <w:t xml:space="preserve">della seconda metà del XVIII secolo</w:t>
      </w:r>
      <w:r>
        <w:rPr>
          <w:i/>
          <w:iCs/>
          <w:sz w:val="24"/>
          <w:szCs w:val="24"/>
        </w:rPr>
      </w:r>
      <w:r/>
    </w:p>
    <w:p>
      <w:pPr>
        <w:pStyle w:val="602"/>
        <w:rPr>
          <w:i/>
        </w:rPr>
      </w:pPr>
      <w:r>
        <w:rPr>
          <w:i/>
        </w:rPr>
      </w:r>
      <w:r/>
    </w:p>
    <w:p>
      <w:pPr>
        <w:pStyle w:val="602"/>
        <w:spacing w:before="4"/>
        <w:rPr>
          <w:i/>
        </w:rPr>
      </w:pPr>
      <w:r>
        <w:rPr>
          <w:i/>
        </w:rPr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19 dicembre 2024.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Festività natalizie al Museo Archeologico Nazionale di Napoli: apre oggi, nella sala 95, la mostra "Da Pietro Fabris a Vincenzo Gemito. Nuove acquisizioni del MANN" che, sino al 24 febbraio 2025, presenta al pubblico cento tra le nuove acquisizioni del Mus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eo. Le opere, che sono entrate a far parte del patrimonio dell'Istituto negli ultimi due anni, per acquisti o donazioni, testimoniano l'immensa fortuna che il Museo ha riscosso nel corso della sua storia (saranno 250 anni nel 2027). Tra i pezzi acquistati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 in esposizione, spiccano il grande acquerello tardo settecentesco dell’artista romano Filippo Maria Giuntotardi (1768–1831) – con una delle più antiche vedute di Pompei (Porta Ercolano) – e la replica della statuetta pompeiana in bronzo del Narciso, reali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zzata dallo scultore napoletano Vincenzo Gemito (1852–1929).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Tra le donazioni vi sono i disegni preparatori che, offerti dallo studioso e collezionista Carlo Knight, permettono di ricostruire con più accuratezza la storia de 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Le Antichità di Ercolano Esposte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. La donazione di Ernesto Bowinkel arricchisce, invece, le collezioni fotografiche del Museo con alcune migliaia di positivi e circa duecento negativi su lastra, tutti legati alla storia del viaggio in Italia, di cui Napoli e le sue antichità furono una ta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ppa fondamentale.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La mostra è a cura di Andrea Milanese, Ruggiero Ferraojoli e Domenico Pino; la progettazione di allestimento è di Fernando Giannella e Alice Lentisco (Direzione Generale Musei).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Per restare in atmosfera natalizia, da non perdere, nell'Atrio del MANN, il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 Presepe dei monaci,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 in prestito dalla Certosa e Museo di San Martino: realizzato da maestranze napoletane della seconda metà del XVIII secolo, il presepe ambienta la scena della Natività tra architetture classiche, per testimoniare le contaminazioni tra cristianesimo e pensi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ero pagano. Particolarmente interessanti sono le due figurine del pastorello bambino e della contadinella, sebbene l’angelo con turibolo, attribuito a Giuseppe Sammartino, sia con ogni probabilità, il pezzo più pregevole della composizione.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cs="Calibri"/>
          <w:sz w:val="22"/>
          <w:szCs w:val="22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Il 24 e il 31 dicembre il Museo Archeologico Nazionale di Napoli sarà aperto dalle 10 alle 18, il 25 dicembre si osserverà chiusura, mentre il 1° gennaio il Museo sarà straordinariamente aperto al pubblico, dalle 10 alle 18.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eastAsia="Arial" w:cs="Calibri"/>
          <w:color w:val="000000"/>
          <w:sz w:val="22"/>
          <w:szCs w:val="22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Antonella Carlo</w:t>
      </w:r>
      <w:r>
        <w:rPr>
          <w:rFonts w:ascii="Calibri" w:hAnsi="Calibri" w:eastAsia="Arial" w:cs="Calibri"/>
          <w:color w:val="000000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Responsabile Ufficio Comunicazione MANN</w:t>
      </w:r>
      <w:r/>
    </w:p>
    <w:p>
      <w:pPr>
        <w:pStyle w:val="602"/>
        <w:ind w:left="0" w:right="128"/>
      </w:pPr>
      <w:r/>
      <w:r/>
    </w:p>
    <w:p>
      <w:pPr>
        <w:pStyle w:val="602"/>
        <w:ind w:left="0" w:right="128"/>
      </w:pPr>
      <w:r/>
      <w:r/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eastAsia="Arial" w:cs="Calibri"/>
          <w:color w:val="000000"/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Al seguente link è possibile scaricare una selezione di immagini: </w:t>
      </w:r>
      <w:hyperlink r:id="rId9" w:tooltip="https://we.tl/t-MAWpkJIRCj" w:history="1">
        <w:r>
          <w:rPr>
            <w:rFonts w:ascii="Calibri" w:hAnsi="Calibri" w:eastAsia="Arial" w:cs="Calibri"/>
            <w:color w:val="000000"/>
            <w:sz w:val="22"/>
            <w:szCs w:val="22"/>
          </w:rPr>
          <w:t xml:space="preserve">https://we.tl/t-MAWpkJIRCj</w:t>
        </w:r>
      </w:hyperlink>
      <w:r>
        <w:rPr>
          <w:rFonts w:ascii="Calibri" w:hAnsi="Calibri" w:eastAsia="Arial" w:cs="Calibri"/>
          <w:color w:val="000000"/>
          <w:sz w:val="22"/>
          <w:szCs w:val="22"/>
        </w:rPr>
      </w:r>
      <w:r>
        <w:rPr>
          <w:rFonts w:ascii="Calibri" w:hAnsi="Calibri" w:eastAsia="Arial" w:cs="Calibri"/>
          <w:color w:val="000000"/>
          <w:sz w:val="22"/>
          <w:szCs w:val="22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1. Filippo Maria Giuntotardi, 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Pompei, Porta Ercolano / Pompeii, Herculaneum gate, 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1790–1800 circa, acquerello su carta /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watercolour on paper.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2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. 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Vincenzo Gemito, 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Statuetta del cd. Narciso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, Replica da originale antico /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Copy after the antique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 (MANN inv. 5003), bronzo, 1880 circa.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3. Pietro Fabris, </w:t>
      </w:r>
      <w:r>
        <w:rPr>
          <w:rFonts w:ascii="Calibri" w:hAnsi="Calibri" w:eastAsia="Arial" w:cs="Calibri"/>
          <w:i/>
          <w:color w:val="000000"/>
          <w:sz w:val="22"/>
          <w:szCs w:val="22"/>
        </w:rPr>
        <w:t xml:space="preserve">Pompei, Villa di Diomede,</w:t>
      </w:r>
      <w:r>
        <w:rPr>
          <w:rFonts w:ascii="Calibri" w:hAnsi="Calibri" w:eastAsia="Arial" w:cs="Calibri"/>
          <w:color w:val="000000"/>
          <w:sz w:val="22"/>
          <w:szCs w:val="22"/>
        </w:rPr>
        <w:t xml:space="preserve"> 1771-73 circa, Tempera.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4. Presepe dei monaci, seconda metà XVIII secolo.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Calibri" w:hAnsi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</w:rPr>
        <w:t xml:space="preserve">5. Dettaglio con Madonna e Bambino Gesù.</w:t>
      </w:r>
      <w:r>
        <w:rPr>
          <w:rFonts w:ascii="Calibri" w:hAnsi="Calibri" w:cs="Calibri"/>
          <w:sz w:val="22"/>
          <w:szCs w:val="22"/>
        </w:rPr>
      </w:r>
    </w:p>
    <w:p>
      <w:pPr>
        <w:ind w:left="0" w:right="0" w:firstLine="0"/>
        <w:jc w:val="both"/>
        <w:spacing w:before="0" w:after="0"/>
        <w:shd w:val="clear" w:color="ffffff" w:fill="ffffff"/>
        <w:rPr>
          <w:rFonts w:ascii="Calibri" w:hAnsi="Calibri" w:eastAsia="Arial" w:cs="Calibri"/>
          <w:color w:val="000000"/>
          <w:sz w:val="22"/>
          <w:szCs w:val="22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Arial" w:cs="Calibri"/>
          <w:color w:val="000000"/>
          <w:sz w:val="22"/>
          <w:szCs w:val="22"/>
          <w:highlight w:val="none"/>
        </w:rPr>
      </w:r>
      <w:r>
        <w:rPr>
          <w:rFonts w:ascii="Calibri" w:hAnsi="Calibri" w:eastAsia="Arial" w:cs="Calibri"/>
          <w:color w:val="000000"/>
          <w:sz w:val="22"/>
          <w:szCs w:val="22"/>
          <w:highlight w:val="none"/>
        </w:rPr>
      </w:r>
    </w:p>
    <w:sectPr>
      <w:footnotePr/>
      <w:endnotePr/>
      <w:type w:val="continuous"/>
      <w:pgSz w:w="11900" w:h="16840" w:orient="portrait"/>
      <w:pgMar w:top="1420" w:right="1020" w:bottom="280" w:left="102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1"/>
    <w:next w:val="60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8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1"/>
    <w:next w:val="60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8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1"/>
    <w:next w:val="60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8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1"/>
    <w:next w:val="60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8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1"/>
    <w:next w:val="60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8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1"/>
    <w:next w:val="60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8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1"/>
    <w:next w:val="60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8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1"/>
    <w:next w:val="60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8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1"/>
    <w:next w:val="60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8"/>
    <w:link w:val="28"/>
    <w:uiPriority w:val="9"/>
    <w:rPr>
      <w:rFonts w:ascii="Arial" w:hAnsi="Arial" w:eastAsia="Arial" w:cs="Arial"/>
      <w:i/>
      <w:iCs/>
      <w:sz w:val="21"/>
      <w:szCs w:val="21"/>
    </w:rPr>
  </w:style>
  <w:style w:type="table" w:styleId="3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1"/>
    <w:next w:val="60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8"/>
    <w:link w:val="33"/>
    <w:uiPriority w:val="10"/>
    <w:rPr>
      <w:sz w:val="48"/>
      <w:szCs w:val="48"/>
    </w:rPr>
  </w:style>
  <w:style w:type="paragraph" w:styleId="35">
    <w:name w:val="Subtitle"/>
    <w:basedOn w:val="601"/>
    <w:next w:val="60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8"/>
    <w:link w:val="35"/>
    <w:uiPriority w:val="11"/>
    <w:rPr>
      <w:sz w:val="24"/>
      <w:szCs w:val="24"/>
    </w:rPr>
  </w:style>
  <w:style w:type="paragraph" w:styleId="37">
    <w:name w:val="Quote"/>
    <w:basedOn w:val="601"/>
    <w:next w:val="60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1"/>
    <w:next w:val="60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8"/>
    <w:link w:val="41"/>
    <w:uiPriority w:val="99"/>
  </w:style>
  <w:style w:type="paragraph" w:styleId="43">
    <w:name w:val="Footer"/>
    <w:basedOn w:val="60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8"/>
    <w:link w:val="43"/>
    <w:uiPriority w:val="99"/>
  </w:style>
  <w:style w:type="paragraph" w:styleId="45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8"/>
    <w:uiPriority w:val="99"/>
    <w:unhideWhenUsed/>
    <w:rPr>
      <w:vertAlign w:val="superscript"/>
    </w:rPr>
  </w:style>
  <w:style w:type="paragraph" w:styleId="177">
    <w:name w:val="endnote text"/>
    <w:basedOn w:val="60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8"/>
    <w:uiPriority w:val="99"/>
    <w:semiHidden/>
    <w:unhideWhenUsed/>
    <w:rPr>
      <w:vertAlign w:val="superscript"/>
    </w:rPr>
  </w:style>
  <w:style w:type="paragraph" w:styleId="180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1"/>
    <w:next w:val="601"/>
    <w:uiPriority w:val="99"/>
    <w:unhideWhenUsed/>
    <w:pPr>
      <w:spacing w:after="0" w:afterAutospacing="0"/>
    </w:pPr>
  </w:style>
  <w:style w:type="character" w:styleId="598" w:default="1">
    <w:name w:val="Default Paragraph Font"/>
    <w:uiPriority w:val="1"/>
    <w:semiHidden/>
    <w:unhideWhenUsed/>
  </w:style>
  <w:style w:type="table" w:styleId="599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 w:default="1">
    <w:name w:val="Normal"/>
    <w:uiPriority w:val="1"/>
    <w:qFormat/>
    <w:rPr>
      <w:rFonts w:ascii="Calibri" w:hAnsi="Calibri" w:eastAsia="Calibri" w:cs="Calibri"/>
      <w:lang w:val="it-IT" w:eastAsia="en-US" w:bidi="ar-SA"/>
    </w:rPr>
  </w:style>
  <w:style w:type="paragraph" w:styleId="602">
    <w:name w:val="Body Text"/>
    <w:basedOn w:val="601"/>
    <w:uiPriority w:val="1"/>
    <w:qFormat/>
    <w:rPr>
      <w:rFonts w:ascii="Calibri" w:hAnsi="Calibri" w:eastAsia="Calibri" w:cs="Calibri"/>
      <w:sz w:val="24"/>
      <w:szCs w:val="24"/>
      <w:lang w:val="it-IT" w:eastAsia="en-US" w:bidi="ar-SA"/>
    </w:rPr>
  </w:style>
  <w:style w:type="paragraph" w:styleId="603">
    <w:name w:val="List Paragraph"/>
    <w:basedOn w:val="601"/>
    <w:uiPriority w:val="1"/>
    <w:qFormat/>
    <w:rPr>
      <w:lang w:val="it-IT" w:eastAsia="en-US" w:bidi="ar-SA"/>
    </w:rPr>
  </w:style>
  <w:style w:type="paragraph" w:styleId="604">
    <w:name w:val="Table Paragraph"/>
    <w:basedOn w:val="601"/>
    <w:uiPriority w:val="1"/>
    <w:qFormat/>
    <w:rPr>
      <w:lang w:val="it-IT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we.tl/t-MAWpkJIRC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revision>1</cp:revision>
  <dcterms:created xsi:type="dcterms:W3CDTF">2023-02-28T13:07:21Z</dcterms:created>
  <dcterms:modified xsi:type="dcterms:W3CDTF">2024-12-19T14:22:23Z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2023-02-28T00:00:00Z</vt:filetime>
  </property>
</Properties>
</file>